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411763</w:t>
      </w:r>
      <w:bookmarkStart w:id="9" w:name="_GoBack"/>
      <w:bookmarkEnd w:id="9"/>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8.25.4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(NR_NTN_Ph3-Core) </w:t>
      </w:r>
      <w:r>
        <w:rPr>
          <w:rFonts w:hint="eastAsia"/>
          <w:sz w:val="22"/>
        </w:rPr>
        <w:t>Discussion on </w:t>
      </w:r>
      <w:r>
        <w:rPr>
          <w:rFonts w:hint="eastAsia"/>
          <w:sz w:val="22"/>
          <w:lang w:val="en-US" w:eastAsia="zh-CN"/>
        </w:rPr>
        <w:t>RRM requirement for Redcap over NTN</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The work item on Non-Terrestrial Networks (NTN) for NR Phase 3 Enhancement has been approved. According to the latest revised WID [1], the RRM requirements for</w:t>
      </w:r>
      <w:r>
        <w:rPr>
          <w:rFonts w:ascii="Times New Roman" w:hAnsi="Times New Roman"/>
          <w:sz w:val="20"/>
          <w:szCs w:val="20"/>
        </w:rPr>
        <w:t xml:space="preserve"> full-duplex and half duplex FDD RedCap and eRedCap UEs</w:t>
      </w:r>
      <w:r>
        <w:rPr>
          <w:rFonts w:hint="eastAsia" w:ascii="Times New Roman" w:hAnsi="Times New Roman"/>
          <w:sz w:val="20"/>
          <w:szCs w:val="20"/>
          <w:lang w:val="en-US" w:eastAsia="zh-CN"/>
        </w:rPr>
        <w:t xml:space="preserve"> with NR NTN operating in FR1-NTN bands </w:t>
      </w:r>
      <w:r>
        <w:rPr>
          <w:rFonts w:hint="eastAsia"/>
          <w:sz w:val="20"/>
          <w:szCs w:val="20"/>
          <w:lang w:val="en-US" w:eastAsia="zh-CN"/>
        </w:rPr>
        <w:t>should be specified. We copy the objective as below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keepNext w:val="0"/>
              <w:keepLines w:val="0"/>
              <w:pageBreakBefore w:val="0"/>
              <w:widowControl/>
              <w:numPr>
                <w:ilvl w:val="0"/>
                <w:numId w:val="0"/>
              </w:numPr>
              <w:kinsoku/>
              <w:wordWrap/>
              <w:topLinePunct w:val="0"/>
              <w:bidi w:val="0"/>
              <w:snapToGrid/>
              <w:spacing w:after="157" w:afterLines="50"/>
              <w:rPr>
                <w:kern w:val="2"/>
                <w:sz w:val="20"/>
                <w:szCs w:val="20"/>
                <w:lang w:val="en-US" w:eastAsia="ko-KR"/>
              </w:rPr>
            </w:pPr>
            <w:r>
              <w:rPr>
                <w:kern w:val="2"/>
                <w:sz w:val="20"/>
                <w:szCs w:val="20"/>
                <w:lang w:val="en-US" w:eastAsia="ko-KR"/>
              </w:rPr>
              <w:t>Support of Rel-17 RedCap and Rel-18 eRedCap UEs with NR NTN operating in FR1-NTN bands [RAN4, RAN1]</w:t>
            </w:r>
          </w:p>
          <w:p>
            <w:pPr>
              <w:pStyle w:val="75"/>
              <w:keepNext w:val="0"/>
              <w:keepLines w:val="0"/>
              <w:pageBreakBefore w:val="0"/>
              <w:widowControl/>
              <w:numPr>
                <w:ilvl w:val="0"/>
                <w:numId w:val="6"/>
              </w:numPr>
              <w:kinsoku/>
              <w:wordWrap/>
              <w:topLinePunct w:val="0"/>
              <w:bidi w:val="0"/>
              <w:snapToGrid/>
              <w:spacing w:after="157" w:afterLines="50"/>
              <w:ind w:left="0" w:leftChars="0"/>
              <w:rPr>
                <w:kern w:val="2"/>
                <w:sz w:val="20"/>
                <w:szCs w:val="20"/>
              </w:rPr>
            </w:pPr>
            <w:r>
              <w:rPr>
                <w:kern w:val="2"/>
                <w:sz w:val="20"/>
                <w:szCs w:val="20"/>
              </w:rPr>
              <w:t>For full-duplex and half duplex FDD RedCap and eRedCap UEs, define the RF and RRM requirements [RAN4]</w:t>
            </w:r>
          </w:p>
          <w:p>
            <w:pPr>
              <w:pStyle w:val="75"/>
              <w:keepNext w:val="0"/>
              <w:keepLines w:val="0"/>
              <w:pageBreakBefore w:val="0"/>
              <w:widowControl/>
              <w:numPr>
                <w:ilvl w:val="0"/>
                <w:numId w:val="6"/>
              </w:numPr>
              <w:kinsoku/>
              <w:wordWrap/>
              <w:topLinePunct w:val="0"/>
              <w:bidi w:val="0"/>
              <w:snapToGrid/>
              <w:spacing w:after="157" w:afterLines="50"/>
              <w:ind w:left="0" w:leftChars="0"/>
              <w:rPr>
                <w:kern w:val="2"/>
                <w:sz w:val="20"/>
                <w:szCs w:val="20"/>
              </w:rPr>
            </w:pPr>
            <w:r>
              <w:rPr>
                <w:kern w:val="2"/>
                <w:sz w:val="20"/>
                <w:szCs w:val="20"/>
              </w:rPr>
              <w:t>For HD-FDD RedCap UEs and eRedCap UEs, specify enhancements for mitigating issues caused by TA mismatch between actual TA used by the UE and assumed TA for the UE at the gNB [RAN1]</w:t>
            </w:r>
          </w:p>
          <w:p>
            <w:pPr>
              <w:pStyle w:val="75"/>
              <w:keepNext w:val="0"/>
              <w:keepLines w:val="0"/>
              <w:pageBreakBefore w:val="0"/>
              <w:widowControl/>
              <w:numPr>
                <w:ilvl w:val="1"/>
                <w:numId w:val="6"/>
              </w:numPr>
              <w:kinsoku/>
              <w:wordWrap/>
              <w:topLinePunct w:val="0"/>
              <w:bidi w:val="0"/>
              <w:snapToGrid/>
              <w:spacing w:after="157" w:afterLines="50"/>
              <w:ind w:left="420" w:leftChars="0"/>
              <w:rPr>
                <w:kern w:val="2"/>
                <w:sz w:val="20"/>
                <w:szCs w:val="20"/>
              </w:rPr>
            </w:pPr>
            <w:r>
              <w:rPr>
                <w:kern w:val="2"/>
                <w:sz w:val="20"/>
                <w:szCs w:val="20"/>
              </w:rPr>
              <w:t>Enhancements are targeted for the following HD collisions cases (cases 3 and 4):</w:t>
            </w:r>
          </w:p>
          <w:p>
            <w:pPr>
              <w:pStyle w:val="75"/>
              <w:keepNext w:val="0"/>
              <w:keepLines w:val="0"/>
              <w:pageBreakBefore w:val="0"/>
              <w:widowControl/>
              <w:numPr>
                <w:ilvl w:val="2"/>
                <w:numId w:val="6"/>
              </w:numPr>
              <w:kinsoku/>
              <w:wordWrap/>
              <w:topLinePunct w:val="0"/>
              <w:bidi w:val="0"/>
              <w:snapToGrid/>
              <w:spacing w:after="157" w:afterLines="50"/>
              <w:ind w:left="840" w:leftChars="0"/>
              <w:rPr>
                <w:kern w:val="2"/>
                <w:sz w:val="20"/>
                <w:szCs w:val="20"/>
              </w:rPr>
            </w:pPr>
            <w:r>
              <w:rPr>
                <w:kern w:val="2"/>
                <w:sz w:val="20"/>
                <w:szCs w:val="20"/>
              </w:rPr>
              <w:t xml:space="preserve">Semi-statically configured DL reception collides with semi-statically configured UL transmission </w:t>
            </w:r>
          </w:p>
          <w:p>
            <w:pPr>
              <w:pStyle w:val="75"/>
              <w:keepNext w:val="0"/>
              <w:keepLines w:val="0"/>
              <w:pageBreakBefore w:val="0"/>
              <w:widowControl/>
              <w:numPr>
                <w:ilvl w:val="2"/>
                <w:numId w:val="6"/>
              </w:numPr>
              <w:kinsoku/>
              <w:wordWrap/>
              <w:topLinePunct w:val="0"/>
              <w:bidi w:val="0"/>
              <w:snapToGrid/>
              <w:spacing w:after="157" w:afterLines="50"/>
              <w:ind w:left="840" w:leftChars="0"/>
              <w:rPr>
                <w:kern w:val="2"/>
                <w:sz w:val="20"/>
                <w:szCs w:val="20"/>
              </w:rPr>
            </w:pPr>
            <w:r>
              <w:rPr>
                <w:kern w:val="2"/>
                <w:sz w:val="20"/>
                <w:szCs w:val="20"/>
              </w:rPr>
              <w:t>Dynamically scheduled DL reception collides with dynamic scheduled UL transmission</w:t>
            </w:r>
          </w:p>
          <w:p>
            <w:pPr>
              <w:pStyle w:val="75"/>
              <w:keepNext w:val="0"/>
              <w:keepLines w:val="0"/>
              <w:pageBreakBefore w:val="0"/>
              <w:widowControl/>
              <w:numPr>
                <w:ilvl w:val="1"/>
                <w:numId w:val="6"/>
              </w:numPr>
              <w:kinsoku/>
              <w:wordWrap/>
              <w:topLinePunct w:val="0"/>
              <w:bidi w:val="0"/>
              <w:snapToGrid/>
              <w:spacing w:after="157" w:afterLines="50"/>
              <w:ind w:left="420" w:leftChars="0"/>
              <w:rPr>
                <w:kern w:val="2"/>
                <w:sz w:val="20"/>
                <w:szCs w:val="20"/>
              </w:rPr>
            </w:pPr>
            <w:r>
              <w:rPr>
                <w:kern w:val="2"/>
                <w:sz w:val="20"/>
                <w:szCs w:val="20"/>
              </w:rPr>
              <w:t>Note: enhancements for other HD collision cases are not targeted. Enhancements for HD collision cases 3 and 4 that may improve other HD collision cases are not precluded.</w:t>
            </w:r>
          </w:p>
          <w:p>
            <w:pPr>
              <w:pStyle w:val="75"/>
              <w:keepNext w:val="0"/>
              <w:keepLines w:val="0"/>
              <w:pageBreakBefore w:val="0"/>
              <w:widowControl/>
              <w:numPr>
                <w:ilvl w:val="1"/>
                <w:numId w:val="6"/>
              </w:numPr>
              <w:kinsoku/>
              <w:wordWrap/>
              <w:topLinePunct w:val="0"/>
              <w:bidi w:val="0"/>
              <w:snapToGrid/>
              <w:spacing w:after="157" w:afterLines="50"/>
              <w:ind w:left="420" w:leftChars="0"/>
              <w:rPr>
                <w:kern w:val="2"/>
                <w:sz w:val="20"/>
                <w:szCs w:val="20"/>
              </w:rPr>
            </w:pPr>
            <w:r>
              <w:rPr>
                <w:kern w:val="2"/>
                <w:sz w:val="20"/>
                <w:szCs w:val="20"/>
              </w:rPr>
              <w:t>Note: potential work in RAN2, if any, starts after RAN1 has decided on the solution.</w:t>
            </w:r>
          </w:p>
          <w:p>
            <w:pPr>
              <w:pStyle w:val="75"/>
              <w:keepNext w:val="0"/>
              <w:keepLines w:val="0"/>
              <w:pageBreakBefore w:val="0"/>
              <w:widowControl/>
              <w:numPr>
                <w:ilvl w:val="0"/>
                <w:numId w:val="6"/>
              </w:numPr>
              <w:kinsoku/>
              <w:wordWrap/>
              <w:topLinePunct w:val="0"/>
              <w:bidi w:val="0"/>
              <w:snapToGrid/>
              <w:spacing w:after="157" w:afterLines="50"/>
              <w:ind w:left="0" w:leftChars="0"/>
              <w:rPr>
                <w:kern w:val="2"/>
                <w:sz w:val="20"/>
                <w:szCs w:val="20"/>
              </w:rPr>
            </w:pPr>
            <w:r>
              <w:rPr>
                <w:kern w:val="2"/>
                <w:sz w:val="20"/>
                <w:szCs w:val="20"/>
              </w:rPr>
              <w:t>Notes for this objective:</w:t>
            </w:r>
          </w:p>
          <w:p>
            <w:pPr>
              <w:pStyle w:val="75"/>
              <w:keepNext w:val="0"/>
              <w:keepLines w:val="0"/>
              <w:pageBreakBefore w:val="0"/>
              <w:widowControl/>
              <w:numPr>
                <w:ilvl w:val="1"/>
                <w:numId w:val="6"/>
              </w:numPr>
              <w:kinsoku/>
              <w:wordWrap/>
              <w:topLinePunct w:val="0"/>
              <w:bidi w:val="0"/>
              <w:snapToGrid/>
              <w:spacing w:after="157" w:afterLines="50"/>
              <w:ind w:left="420" w:leftChars="0"/>
              <w:rPr>
                <w:kern w:val="2"/>
                <w:sz w:val="20"/>
                <w:szCs w:val="20"/>
              </w:rPr>
            </w:pPr>
            <w:r>
              <w:rPr>
                <w:kern w:val="2"/>
                <w:sz w:val="20"/>
                <w:szCs w:val="20"/>
              </w:rPr>
              <w:t>GNSS (Global Navigation Satellite Systems) capabilities and simultaneous GNSS and NR-NTN operation is supported in RedCap/eRedCap UE.</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this contribution, we discuss some general RRM impact considering Redcap over FR1 NTN, and then identify the type of RRM requirements that RAN4 need to further develop and specify.</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General</w:t>
      </w:r>
    </w:p>
    <w:p>
      <w:pPr>
        <w:outlineLvl w:val="2"/>
        <w:rPr>
          <w:rFonts w:hint="eastAsia"/>
          <w:b/>
          <w:i/>
          <w:iCs/>
          <w:sz w:val="20"/>
          <w:szCs w:val="20"/>
          <w:highlight w:val="none"/>
          <w:u w:val="single"/>
          <w:lang w:eastAsia="ko-KR"/>
        </w:rPr>
      </w:pPr>
      <w:bookmarkStart w:id="8" w:name="_Hlk147849822"/>
      <w:r>
        <w:rPr>
          <w:rFonts w:hint="eastAsia"/>
          <w:b/>
          <w:i/>
          <w:iCs/>
          <w:sz w:val="20"/>
          <w:szCs w:val="20"/>
          <w:highlight w:val="none"/>
          <w:u w:val="single"/>
          <w:lang w:val="en-US" w:eastAsia="zh-CN"/>
        </w:rPr>
        <w:t>Network Scenario</w:t>
      </w:r>
    </w:p>
    <w:bookmarkEnd w:id="8"/>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kern w:val="2"/>
          <w:sz w:val="20"/>
          <w:szCs w:val="20"/>
          <w:lang w:val="en-US" w:eastAsia="ko-KR"/>
        </w:rPr>
        <w:t>NR NTN</w:t>
      </w:r>
      <w:r>
        <w:rPr>
          <w:rFonts w:hint="eastAsia"/>
          <w:kern w:val="2"/>
          <w:sz w:val="20"/>
          <w:szCs w:val="20"/>
          <w:lang w:val="en-US" w:eastAsia="zh-CN"/>
        </w:rPr>
        <w:t xml:space="preserve"> network which</w:t>
      </w:r>
      <w:r>
        <w:rPr>
          <w:kern w:val="2"/>
          <w:sz w:val="20"/>
          <w:szCs w:val="20"/>
          <w:lang w:val="en-US" w:eastAsia="ko-KR"/>
        </w:rPr>
        <w:t xml:space="preserve"> operating in FR1-NTN bands</w:t>
      </w:r>
      <w:r>
        <w:rPr>
          <w:rFonts w:hint="eastAsia"/>
          <w:kern w:val="2"/>
          <w:sz w:val="20"/>
          <w:szCs w:val="20"/>
          <w:lang w:val="en-US" w:eastAsia="zh-CN"/>
        </w:rPr>
        <w:t xml:space="preserve"> should be considered, which means only FR1 single carrier, FDD duplex mode need to be considered in this study.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In addition, the mobility between TN and NTN network can be also considered since Redcap is not NTN specific UE.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network scenario, consider FR1-NTN bands single carrier and FDD duplex mode of NR NTN network.</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 Consider the mobility between TN and NTN network for Redcap UE.</w:t>
      </w:r>
    </w:p>
    <w:p>
      <w:pPr>
        <w:outlineLvl w:val="2"/>
        <w:rPr>
          <w:rFonts w:hint="eastAsia"/>
          <w:b/>
          <w:i/>
          <w:iCs/>
          <w:sz w:val="20"/>
          <w:szCs w:val="20"/>
          <w:highlight w:val="none"/>
          <w:u w:val="single"/>
          <w:lang w:val="en-US" w:eastAsia="zh-CN"/>
        </w:rPr>
      </w:pPr>
    </w:p>
    <w:p>
      <w:pPr>
        <w:outlineLvl w:val="2"/>
        <w:rPr>
          <w:rFonts w:hint="eastAsia"/>
          <w:b/>
          <w:i/>
          <w:iCs/>
          <w:sz w:val="20"/>
          <w:szCs w:val="20"/>
          <w:highlight w:val="none"/>
          <w:u w:val="single"/>
          <w:lang w:val="en-US" w:eastAsia="zh-CN"/>
        </w:rPr>
      </w:pPr>
      <w:r>
        <w:rPr>
          <w:rFonts w:hint="eastAsia"/>
          <w:b/>
          <w:i/>
          <w:iCs/>
          <w:sz w:val="20"/>
          <w:szCs w:val="20"/>
          <w:highlight w:val="none"/>
          <w:u w:val="single"/>
          <w:lang w:val="en-US" w:eastAsia="zh-CN"/>
        </w:rPr>
        <w:t>UE type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As stated in WID, R17 </w:t>
      </w:r>
      <w:r>
        <w:rPr>
          <w:kern w:val="2"/>
          <w:sz w:val="20"/>
          <w:szCs w:val="20"/>
        </w:rPr>
        <w:t xml:space="preserve">full-duplex and half duplex FDD RedCap and </w:t>
      </w:r>
      <w:r>
        <w:rPr>
          <w:rFonts w:hint="eastAsia"/>
          <w:kern w:val="2"/>
          <w:sz w:val="20"/>
          <w:szCs w:val="20"/>
          <w:lang w:val="en-US" w:eastAsia="zh-CN"/>
        </w:rPr>
        <w:t xml:space="preserve">R18 </w:t>
      </w:r>
      <w:r>
        <w:rPr>
          <w:kern w:val="2"/>
          <w:sz w:val="20"/>
          <w:szCs w:val="20"/>
        </w:rPr>
        <w:t>eRedCap UEs</w:t>
      </w:r>
      <w:r>
        <w:rPr>
          <w:rFonts w:hint="eastAsia"/>
          <w:kern w:val="2"/>
          <w:sz w:val="20"/>
          <w:szCs w:val="20"/>
          <w:lang w:val="en-US" w:eastAsia="zh-CN"/>
        </w:rPr>
        <w:t xml:space="preserve"> should be supported. Specifically, both 1 Rx and 2Rx for each duplex mode (FD-FDD, HD-FDD) with single searcher should be supported.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3: For R17 full-duplex and half duplex FDD RedCap and R18 eRedCap UEs,  consider both 1 Rx and 2Rx for each duplex mode (FD-FDD, HD-FDD) with single searcher.</w:t>
      </w:r>
    </w:p>
    <w:p>
      <w:pPr>
        <w:outlineLvl w:val="2"/>
        <w:rPr>
          <w:rFonts w:hint="eastAsia"/>
          <w:b/>
          <w:i/>
          <w:iCs/>
          <w:sz w:val="20"/>
          <w:szCs w:val="20"/>
          <w:highlight w:val="none"/>
          <w:u w:val="single"/>
          <w:lang w:val="en-US" w:eastAsia="zh-CN"/>
        </w:rPr>
      </w:pPr>
    </w:p>
    <w:p>
      <w:pPr>
        <w:outlineLvl w:val="2"/>
        <w:rPr>
          <w:rFonts w:hint="default"/>
          <w:b/>
          <w:i/>
          <w:iCs/>
          <w:sz w:val="20"/>
          <w:szCs w:val="20"/>
          <w:highlight w:val="none"/>
          <w:u w:val="single"/>
          <w:lang w:val="en-US" w:eastAsia="zh-CN"/>
        </w:rPr>
      </w:pPr>
      <w:r>
        <w:rPr>
          <w:rFonts w:hint="eastAsia"/>
          <w:b/>
          <w:i/>
          <w:iCs/>
          <w:sz w:val="20"/>
          <w:szCs w:val="20"/>
          <w:highlight w:val="none"/>
          <w:u w:val="single"/>
          <w:lang w:val="en-US" w:eastAsia="zh-CN"/>
        </w:rPr>
        <w:t xml:space="preserve">eDRX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Redcap WI, requirements were introduced for eDRX_IDLE up to 10485.76s and eDRX_INACTIVE cycles which up to 10.24 seconds. In R18 eRedcap WI, enhanced requirements were introduced for eDRX_INACTIVE up to 10485.76s.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and R18 NTN related WI, requirements were introduced for R16 DRX cycle, and 2.56s DRX cycle is not applicable for earth-moving LEO deployment due to limited serving time.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When we attend to support Redcap in NTN network, one key issue is whether eDRX can be supported or not.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our understanding, at least in GEO deployment, all eDRX cycle can be supported. In earth-fixed LEO deployment, requirement are applicable for up to 10.24s eDRX cycle. In earth-moving LEO deployment, requirement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10.24s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p>
    <w:p>
      <w:pPr>
        <w:outlineLvl w:val="2"/>
        <w:rPr>
          <w:rFonts w:hint="default"/>
          <w:b/>
          <w:i/>
          <w:iCs/>
          <w:sz w:val="20"/>
          <w:szCs w:val="20"/>
          <w:highlight w:val="none"/>
          <w:u w:val="single"/>
          <w:lang w:val="en-US" w:eastAsia="zh-CN"/>
        </w:rPr>
      </w:pPr>
      <w:r>
        <w:rPr>
          <w:rFonts w:hint="eastAsia"/>
          <w:b/>
          <w:i/>
          <w:iCs/>
          <w:sz w:val="20"/>
          <w:szCs w:val="20"/>
          <w:highlight w:val="none"/>
          <w:u w:val="single"/>
          <w:lang w:val="en-US" w:eastAsia="zh-CN"/>
        </w:rPr>
        <w:t>NCD-SSB</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Redcap WI, Redcap UE RF+BB bandwidth are limited to 20MHz, while NR cell bandwidth can be 100MHz and only one set of CD-SSB can be configured in each cell. For traffic load balance purpose, the dedicated initial BWP may be configured without CD-SSB. In this case, in order to decrease the complexity of sync and measurement, network could configure NCD-SSB according to different use case and UE capability.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While for FR1 NTN bands, i.e. n254, n255 and n256, the maximum UE channel bandwidth is 30MHz, we believe network could configure the dedicated initial BWP with CD-SSB for sure. Hence, there is no demand to introduce NCD-SSB related design for Redcap over NTN, further, no need to define NCD-SSB specific measurement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5: For Redcap over NTN, no need to define NCD-SSB specific measurement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p>
    <w:p>
      <w:pPr>
        <w:outlineLvl w:val="2"/>
        <w:rPr>
          <w:rFonts w:hint="default"/>
          <w:b/>
          <w:i/>
          <w:iCs/>
          <w:sz w:val="20"/>
          <w:szCs w:val="20"/>
          <w:highlight w:val="none"/>
          <w:u w:val="single"/>
          <w:lang w:val="en-US" w:eastAsia="zh-CN"/>
        </w:rPr>
      </w:pPr>
      <w:r>
        <w:rPr>
          <w:rFonts w:hint="eastAsia"/>
          <w:b/>
          <w:i/>
          <w:iCs/>
          <w:sz w:val="20"/>
          <w:szCs w:val="20"/>
          <w:highlight w:val="none"/>
          <w:u w:val="single"/>
          <w:lang w:val="en-US" w:eastAsia="zh-CN"/>
        </w:rPr>
        <w:t>Combination of features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R17 and R18 NTN, RAN1 to RAN4 introduced a lot of new UE features and related requirements for network access, measurement, mobility, and so on. For the optional NTN features below which have impact on RAN4 requirements and need enhanced UE capability, whether Redcap UE could optionally support it and whether define RAN4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current stage, we think Set 1 features can be optionally supported by Redcap UE, and details can be further discussed. Set 2 features need further discussion.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Set 1:</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Time-based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earth-fixed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earth-fixed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SMTC adjustment in idle/inactive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report trigger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Inter-Satellite measurements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Enhanced RRM requirements for measurements in IDLE and INACTIVE modes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 number of target LEO satellites the UE can monitor per carrier including serving satellite</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Further discuss the max number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RACH-less HO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Hard satellite switch with re-synchronization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Set 2:</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Time-based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earth-moving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earth-moving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 based CHO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Time based CHO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Event A4 based CHO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multiple SMTC-s for a single frequency carrier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400" w:leftChars="0" w:hanging="400" w:hangingChars="20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cells belonging to a different NGSO satellite than a serving satellite without scheduling restrictions on normal operations with the serving cell</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with multiple measurement gaps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multiple NGSO satellites within a SMTC</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Soft satellite switch with re-synchronization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6: For the optional NTN features which have impact on RAN4 requirements and need enhanced UE capability, whether Redcap UE could optionally support it and whether RAN4 need to define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p>
    <w:p>
      <w:pPr>
        <w:outlineLvl w:val="2"/>
        <w:rPr>
          <w:rFonts w:hint="default"/>
          <w:b/>
          <w:i/>
          <w:iCs/>
          <w:sz w:val="20"/>
          <w:szCs w:val="20"/>
          <w:highlight w:val="none"/>
          <w:u w:val="single"/>
          <w:lang w:val="en-US" w:eastAsia="zh-CN"/>
        </w:rPr>
      </w:pPr>
      <w:r>
        <w:rPr>
          <w:rFonts w:hint="default"/>
          <w:b/>
          <w:i/>
          <w:iCs/>
          <w:sz w:val="20"/>
          <w:szCs w:val="20"/>
          <w:highlight w:val="none"/>
          <w:u w:val="single"/>
          <w:lang w:val="en-US" w:eastAsia="zh-CN"/>
        </w:rPr>
        <w:t>Specification structure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i/>
          <w:iCs/>
          <w:sz w:val="20"/>
          <w:szCs w:val="20"/>
          <w:highlight w:val="none"/>
          <w:u w:val="single"/>
          <w:lang w:val="en-US" w:eastAsia="zh-CN"/>
        </w:rPr>
      </w:pPr>
      <w:r>
        <w:rPr>
          <w:rFonts w:hint="eastAsia"/>
          <w:kern w:val="2"/>
          <w:sz w:val="20"/>
          <w:szCs w:val="20"/>
          <w:lang w:val="en-US" w:eastAsia="zh-CN"/>
        </w:rPr>
        <w:t xml:space="preserve">How to capture </w:t>
      </w:r>
      <w:r>
        <w:rPr>
          <w:rFonts w:hint="default"/>
          <w:kern w:val="2"/>
          <w:sz w:val="20"/>
          <w:szCs w:val="20"/>
          <w:lang w:val="en-US" w:eastAsia="zh-CN"/>
        </w:rPr>
        <w:t xml:space="preserve">RedCap </w:t>
      </w:r>
      <w:r>
        <w:rPr>
          <w:rFonts w:hint="eastAsia"/>
          <w:kern w:val="2"/>
          <w:sz w:val="20"/>
          <w:szCs w:val="20"/>
          <w:lang w:val="en-US" w:eastAsia="zh-CN"/>
        </w:rPr>
        <w:t xml:space="preserve">over NTN </w:t>
      </w:r>
      <w:r>
        <w:rPr>
          <w:rFonts w:hint="default"/>
          <w:kern w:val="2"/>
          <w:sz w:val="20"/>
          <w:szCs w:val="20"/>
          <w:lang w:val="en-US" w:eastAsia="zh-CN"/>
        </w:rPr>
        <w:t>specific requirements</w:t>
      </w:r>
      <w:r>
        <w:rPr>
          <w:rFonts w:hint="eastAsia"/>
          <w:kern w:val="2"/>
          <w:sz w:val="20"/>
          <w:szCs w:val="20"/>
          <w:lang w:val="en-US" w:eastAsia="zh-CN"/>
        </w:rPr>
        <w:t xml:space="preserve"> in spec should be discussed. We slightly prefer to introduce it</w:t>
      </w:r>
      <w:r>
        <w:rPr>
          <w:rFonts w:hint="default"/>
          <w:kern w:val="2"/>
          <w:sz w:val="20"/>
          <w:szCs w:val="20"/>
          <w:lang w:val="en-US" w:eastAsia="zh-CN"/>
        </w:rPr>
        <w:t xml:space="preserve"> new subsections</w:t>
      </w:r>
      <w:r>
        <w:rPr>
          <w:rFonts w:hint="eastAsia"/>
          <w:kern w:val="2"/>
          <w:sz w:val="20"/>
          <w:szCs w:val="20"/>
          <w:lang w:val="en-US" w:eastAsia="zh-CN"/>
        </w:rPr>
        <w:t xml:space="preserve"> </w:t>
      </w:r>
      <w:r>
        <w:rPr>
          <w:rFonts w:hint="default"/>
          <w:kern w:val="2"/>
          <w:sz w:val="20"/>
          <w:szCs w:val="20"/>
          <w:lang w:val="en-US" w:eastAsia="zh-CN"/>
        </w:rPr>
        <w:t>in TS 38.133</w:t>
      </w:r>
      <w:r>
        <w:rPr>
          <w:rFonts w:hint="eastAsia"/>
          <w:kern w:val="2"/>
          <w:sz w:val="20"/>
          <w:szCs w:val="20"/>
          <w:lang w:val="en-US" w:eastAsia="zh-CN"/>
        </w:rPr>
        <w:t xml:space="preserve"> or new subclauses in current NTN section, we also open to other wise idea, which could make spec clear and control spec size.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7: Slightly prefer to introduce the Redcap over NTN requirements in new subsections in TS 38.133 or new subclauses in current NTN section.</w:t>
      </w:r>
    </w:p>
    <w:p>
      <w:pPr>
        <w:outlineLvl w:val="2"/>
        <w:rPr>
          <w:rFonts w:hint="default"/>
          <w:b/>
          <w:i/>
          <w:iCs/>
          <w:sz w:val="20"/>
          <w:szCs w:val="20"/>
          <w:highlight w:val="none"/>
          <w:u w:val="single"/>
          <w:lang w:val="en-US" w:eastAsia="zh-CN"/>
        </w:rPr>
      </w:pP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network scenario, consider FR1-NTN bands single carrier and FDD duplex mode of NR NTN network.</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 Consider the mobility between TN and NTN network for Redcap UE.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3: For R17 full-duplex and half duplex FDD RedCap and R18 eRedCap UEs,  consider both 1 Rx and 2Rx for each duplex mode (FD-FDD, HD-FDD) with single searcher.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10.24s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5: For Redcap over NTN, no need to define NCD-SSB specific measurement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6: For the optional NTN features which have impact on RAN4 requirements and need enhanced UE capability, whether Redcap UE could optionally support it and whether RAN4 need to define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7: Slightly prefer to introduce the Redcap over NTN requirements in new subsections in TS 38.133 or new subclauses in current NTN section.</w:t>
      </w:r>
    </w:p>
    <w:p>
      <w:pPr>
        <w:spacing w:before="60"/>
        <w:rPr>
          <w:sz w:val="20"/>
          <w:szCs w:val="20"/>
        </w:rPr>
      </w:pP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US" w:eastAsia="zh-CN"/>
        </w:rPr>
        <w:t>[1] RP-241667, Revised WID: Non-Terrestrial Networks (NTN) for NR Phase 3, Thales,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A047"/>
    <w:multiLevelType w:val="multilevel"/>
    <w:tmpl w:val="05DDA047"/>
    <w:lvl w:ilvl="0" w:tentative="0">
      <w:start w:val="1"/>
      <w:numFmt w:val="bullet"/>
      <w:lvlText w:val=""/>
      <w:lvlJc w:val="left"/>
      <w:pPr>
        <w:tabs>
          <w:tab w:val="left" w:pos="134"/>
        </w:tabs>
        <w:ind w:left="134" w:leftChars="0" w:hanging="134"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533C5C"/>
    <w:multiLevelType w:val="multilevel"/>
    <w:tmpl w:val="3A533C5C"/>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3"/>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2CD6222"/>
    <w:rsid w:val="032875BA"/>
    <w:rsid w:val="04027B7C"/>
    <w:rsid w:val="04270E0A"/>
    <w:rsid w:val="04F14AC0"/>
    <w:rsid w:val="05E842A2"/>
    <w:rsid w:val="061C4A75"/>
    <w:rsid w:val="06830D33"/>
    <w:rsid w:val="07B91BA9"/>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55A08C9"/>
    <w:rsid w:val="16F963FC"/>
    <w:rsid w:val="17F40229"/>
    <w:rsid w:val="17F76EF9"/>
    <w:rsid w:val="18572D14"/>
    <w:rsid w:val="19166C11"/>
    <w:rsid w:val="19684D1A"/>
    <w:rsid w:val="199268D2"/>
    <w:rsid w:val="19AE4C3C"/>
    <w:rsid w:val="19E84EE7"/>
    <w:rsid w:val="1A337C08"/>
    <w:rsid w:val="1AE9076D"/>
    <w:rsid w:val="1B08792E"/>
    <w:rsid w:val="1C045BB5"/>
    <w:rsid w:val="1CE6214B"/>
    <w:rsid w:val="1D482986"/>
    <w:rsid w:val="1D530466"/>
    <w:rsid w:val="1EBC4909"/>
    <w:rsid w:val="20741BCD"/>
    <w:rsid w:val="21E6327B"/>
    <w:rsid w:val="220A3DCE"/>
    <w:rsid w:val="226278E6"/>
    <w:rsid w:val="2297614E"/>
    <w:rsid w:val="22CD4739"/>
    <w:rsid w:val="22DF4B25"/>
    <w:rsid w:val="23A0131E"/>
    <w:rsid w:val="23F24A71"/>
    <w:rsid w:val="2453420A"/>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41202"/>
    <w:rsid w:val="2A1C7136"/>
    <w:rsid w:val="2A52567F"/>
    <w:rsid w:val="2AD63ADB"/>
    <w:rsid w:val="2B2D51E0"/>
    <w:rsid w:val="2CCE420F"/>
    <w:rsid w:val="2D3C0CBF"/>
    <w:rsid w:val="2D480610"/>
    <w:rsid w:val="2E177608"/>
    <w:rsid w:val="2E285745"/>
    <w:rsid w:val="2E954754"/>
    <w:rsid w:val="2EBB7CD6"/>
    <w:rsid w:val="2ECD6A4D"/>
    <w:rsid w:val="2F1F43E1"/>
    <w:rsid w:val="2FF748E5"/>
    <w:rsid w:val="302A3B16"/>
    <w:rsid w:val="30B631AE"/>
    <w:rsid w:val="311C418B"/>
    <w:rsid w:val="312A6EA1"/>
    <w:rsid w:val="314F1B30"/>
    <w:rsid w:val="33106379"/>
    <w:rsid w:val="33417212"/>
    <w:rsid w:val="339A6C60"/>
    <w:rsid w:val="33A629ED"/>
    <w:rsid w:val="33C33478"/>
    <w:rsid w:val="33E2308C"/>
    <w:rsid w:val="33FF585B"/>
    <w:rsid w:val="34C969B6"/>
    <w:rsid w:val="35CB3800"/>
    <w:rsid w:val="36081486"/>
    <w:rsid w:val="36267311"/>
    <w:rsid w:val="36ED2DC2"/>
    <w:rsid w:val="38616D76"/>
    <w:rsid w:val="3B1D4D3A"/>
    <w:rsid w:val="3B1E11F2"/>
    <w:rsid w:val="3B3261DC"/>
    <w:rsid w:val="3BCD3BF3"/>
    <w:rsid w:val="3C1B0BDA"/>
    <w:rsid w:val="3C1C2A58"/>
    <w:rsid w:val="3C3F629C"/>
    <w:rsid w:val="3CC57762"/>
    <w:rsid w:val="3D2E150D"/>
    <w:rsid w:val="3D774C98"/>
    <w:rsid w:val="3DD26E51"/>
    <w:rsid w:val="3DFE15C4"/>
    <w:rsid w:val="3FFA159D"/>
    <w:rsid w:val="4028093E"/>
    <w:rsid w:val="40A203D0"/>
    <w:rsid w:val="41021CB6"/>
    <w:rsid w:val="42714C57"/>
    <w:rsid w:val="428C04CB"/>
    <w:rsid w:val="438A330C"/>
    <w:rsid w:val="43D2693C"/>
    <w:rsid w:val="443A7490"/>
    <w:rsid w:val="44694FB6"/>
    <w:rsid w:val="44D416C8"/>
    <w:rsid w:val="44F042A4"/>
    <w:rsid w:val="45004955"/>
    <w:rsid w:val="45104F09"/>
    <w:rsid w:val="4568626D"/>
    <w:rsid w:val="468D0F58"/>
    <w:rsid w:val="47382E8E"/>
    <w:rsid w:val="47BD2EBF"/>
    <w:rsid w:val="480073D8"/>
    <w:rsid w:val="483C7010"/>
    <w:rsid w:val="48827744"/>
    <w:rsid w:val="489F04CD"/>
    <w:rsid w:val="48DD3AEA"/>
    <w:rsid w:val="48FF5BC4"/>
    <w:rsid w:val="4909275C"/>
    <w:rsid w:val="496B0DFD"/>
    <w:rsid w:val="499C7F1A"/>
    <w:rsid w:val="49BD7F19"/>
    <w:rsid w:val="4A4107F5"/>
    <w:rsid w:val="4AB334E0"/>
    <w:rsid w:val="4AC54120"/>
    <w:rsid w:val="4AE14CE5"/>
    <w:rsid w:val="4B820C21"/>
    <w:rsid w:val="4C740FBB"/>
    <w:rsid w:val="4CB32D3F"/>
    <w:rsid w:val="4D2C3744"/>
    <w:rsid w:val="4DF73079"/>
    <w:rsid w:val="4E222F58"/>
    <w:rsid w:val="4E63642D"/>
    <w:rsid w:val="4E734BC1"/>
    <w:rsid w:val="4EEE3525"/>
    <w:rsid w:val="4F4A5D3D"/>
    <w:rsid w:val="4FBE626D"/>
    <w:rsid w:val="50047D3F"/>
    <w:rsid w:val="50803E7A"/>
    <w:rsid w:val="50FC4159"/>
    <w:rsid w:val="52387E00"/>
    <w:rsid w:val="52657DC0"/>
    <w:rsid w:val="52A02608"/>
    <w:rsid w:val="53046661"/>
    <w:rsid w:val="53F344DD"/>
    <w:rsid w:val="54141C5F"/>
    <w:rsid w:val="5415308F"/>
    <w:rsid w:val="559303C8"/>
    <w:rsid w:val="56902820"/>
    <w:rsid w:val="56D73D29"/>
    <w:rsid w:val="56D805CB"/>
    <w:rsid w:val="585C7AD6"/>
    <w:rsid w:val="587E7112"/>
    <w:rsid w:val="58B90AAC"/>
    <w:rsid w:val="58D33E46"/>
    <w:rsid w:val="59804317"/>
    <w:rsid w:val="5A3916BC"/>
    <w:rsid w:val="5A5554D1"/>
    <w:rsid w:val="5ACB668C"/>
    <w:rsid w:val="5AD564E3"/>
    <w:rsid w:val="5B9A48FE"/>
    <w:rsid w:val="5BE54260"/>
    <w:rsid w:val="5C03165A"/>
    <w:rsid w:val="5D0B6B17"/>
    <w:rsid w:val="5DE26877"/>
    <w:rsid w:val="5E0314D0"/>
    <w:rsid w:val="5EA54D66"/>
    <w:rsid w:val="5FAE3C1E"/>
    <w:rsid w:val="60176AA1"/>
    <w:rsid w:val="601C52A9"/>
    <w:rsid w:val="603B3B74"/>
    <w:rsid w:val="60BC6411"/>
    <w:rsid w:val="61AF27D1"/>
    <w:rsid w:val="61FE73B1"/>
    <w:rsid w:val="621D6C97"/>
    <w:rsid w:val="628E517D"/>
    <w:rsid w:val="629C6F02"/>
    <w:rsid w:val="636D6759"/>
    <w:rsid w:val="646D5888"/>
    <w:rsid w:val="649B770A"/>
    <w:rsid w:val="65B3429B"/>
    <w:rsid w:val="666B0042"/>
    <w:rsid w:val="6695767F"/>
    <w:rsid w:val="669876C5"/>
    <w:rsid w:val="669A6BCA"/>
    <w:rsid w:val="66B83359"/>
    <w:rsid w:val="674701DD"/>
    <w:rsid w:val="674E1284"/>
    <w:rsid w:val="67791B52"/>
    <w:rsid w:val="678F7D1C"/>
    <w:rsid w:val="67B02672"/>
    <w:rsid w:val="67F34F90"/>
    <w:rsid w:val="67FA6925"/>
    <w:rsid w:val="68F9738C"/>
    <w:rsid w:val="690A41ED"/>
    <w:rsid w:val="6950210B"/>
    <w:rsid w:val="69B84930"/>
    <w:rsid w:val="6AA1751A"/>
    <w:rsid w:val="6B3773F6"/>
    <w:rsid w:val="6D72001A"/>
    <w:rsid w:val="6D790A61"/>
    <w:rsid w:val="6E7D749A"/>
    <w:rsid w:val="6EC018FE"/>
    <w:rsid w:val="6FAC37F7"/>
    <w:rsid w:val="6FD518E1"/>
    <w:rsid w:val="709A16D4"/>
    <w:rsid w:val="70B558FD"/>
    <w:rsid w:val="7191735E"/>
    <w:rsid w:val="738E763D"/>
    <w:rsid w:val="74521C25"/>
    <w:rsid w:val="74BC07DB"/>
    <w:rsid w:val="7530247A"/>
    <w:rsid w:val="759978CC"/>
    <w:rsid w:val="76871284"/>
    <w:rsid w:val="769367A2"/>
    <w:rsid w:val="77DC6BAC"/>
    <w:rsid w:val="77EA2826"/>
    <w:rsid w:val="77EB1A53"/>
    <w:rsid w:val="78833509"/>
    <w:rsid w:val="78DE7EBE"/>
    <w:rsid w:val="79497FA2"/>
    <w:rsid w:val="799A470F"/>
    <w:rsid w:val="7A8B7C93"/>
    <w:rsid w:val="7B0E64C9"/>
    <w:rsid w:val="7B3426D8"/>
    <w:rsid w:val="7CAD6BC4"/>
    <w:rsid w:val="7CE51231"/>
    <w:rsid w:val="7CED0E52"/>
    <w:rsid w:val="7CF466CF"/>
    <w:rsid w:val="7D017AA5"/>
    <w:rsid w:val="7F2D7455"/>
    <w:rsid w:val="7F5877E7"/>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2024-08-09T06:29:26Z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